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7DC" w:rsidRDefault="00100F0E" w:rsidP="00100F0E">
      <w:pPr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FA07DC" w:rsidRPr="00FA07DC">
        <w:rPr>
          <w:rFonts w:ascii="Times New Roman" w:hAnsi="Times New Roman" w:cs="Times New Roman"/>
          <w:sz w:val="28"/>
          <w:szCs w:val="28"/>
        </w:rPr>
        <w:t>П</w:t>
      </w:r>
      <w:r w:rsidRPr="00FA07DC">
        <w:rPr>
          <w:rFonts w:ascii="Times New Roman" w:hAnsi="Times New Roman" w:cs="Times New Roman"/>
          <w:sz w:val="28"/>
          <w:szCs w:val="28"/>
        </w:rPr>
        <w:t>остановление</w:t>
      </w:r>
      <w:r w:rsidR="00FA07DC" w:rsidRPr="00FA07DC">
        <w:rPr>
          <w:rFonts w:ascii="Times New Roman" w:hAnsi="Times New Roman" w:cs="Times New Roman"/>
          <w:sz w:val="28"/>
          <w:szCs w:val="28"/>
        </w:rPr>
        <w:t>м</w:t>
      </w:r>
      <w:r w:rsidRPr="00FA07DC">
        <w:rPr>
          <w:rFonts w:ascii="Times New Roman" w:hAnsi="Times New Roman" w:cs="Times New Roman"/>
          <w:sz w:val="28"/>
          <w:szCs w:val="28"/>
        </w:rPr>
        <w:t xml:space="preserve"> Правительства РФ от 24.06.2015г №624 утверждены правила предоставления и распределения субсидий из федерального бюджета бюджетам субъектов Российской Федерации на возмещение части прямых понесенных затрат на создание и модернизацию объектов агропромышленного комплекса, а также на приобретение техники и оборудования. Понятие «объекты»</w:t>
      </w:r>
      <w:r w:rsidR="00FA07DC" w:rsidRPr="00FA07DC">
        <w:rPr>
          <w:rFonts w:ascii="Times New Roman" w:hAnsi="Times New Roman" w:cs="Times New Roman"/>
          <w:sz w:val="28"/>
          <w:szCs w:val="28"/>
        </w:rPr>
        <w:t xml:space="preserve"> включает в себя ЖИВОТНОВОДЧЕСКИЕ КОМПЛЕКСЫ МОЛОЧНОГО НАПРАВЛЕНИЯ (МОЛОЧНЫЕ ФЕРМЫ).</w:t>
      </w:r>
    </w:p>
    <w:p w:rsidR="00FA07DC" w:rsidRDefault="00FA07DC" w:rsidP="00100F0E">
      <w:pPr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приказом Минсельхоза России от 24.07.2015г №318 «Об утверждении порядка отбора инвестиционных проектов, направленных на строительство и (или) модернизацию объектов АПК» для участия в отборе министерство сельского хозяйства края направляет в Минсельхоз России заявочную документацию по каждому инвестиционному проекту, включающую:</w:t>
      </w:r>
    </w:p>
    <w:p w:rsidR="00FA07DC" w:rsidRDefault="00FA07DC" w:rsidP="00FA07DC">
      <w:pPr>
        <w:pStyle w:val="a9"/>
        <w:numPr>
          <w:ilvl w:val="0"/>
          <w:numId w:val="1"/>
        </w:numPr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 соответствии инвестиционного проекта категориям отбора (Приложение 1), с приложением обосновывающих материалов.</w:t>
      </w:r>
    </w:p>
    <w:p w:rsidR="00FA07DC" w:rsidRDefault="00FA07DC" w:rsidP="00FA07DC">
      <w:pPr>
        <w:pStyle w:val="a9"/>
        <w:numPr>
          <w:ilvl w:val="0"/>
          <w:numId w:val="1"/>
        </w:numPr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выполнения мероприятий по созданию и (или) модернизации объекта АПК.</w:t>
      </w:r>
    </w:p>
    <w:p w:rsidR="00FA07DC" w:rsidRDefault="00FA07DC" w:rsidP="00FA07DC">
      <w:pPr>
        <w:pStyle w:val="a9"/>
        <w:numPr>
          <w:ilvl w:val="0"/>
          <w:numId w:val="1"/>
        </w:numPr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документацию по инвестиционному проекту.</w:t>
      </w:r>
    </w:p>
    <w:p w:rsidR="00FA07DC" w:rsidRDefault="00FA07DC" w:rsidP="00FA07DC">
      <w:pPr>
        <w:pStyle w:val="a9"/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а-копию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сводного сметного расчета.</w:t>
      </w:r>
    </w:p>
    <w:p w:rsidR="00FA07DC" w:rsidRDefault="00FA07DC" w:rsidP="00FA07DC">
      <w:pPr>
        <w:pStyle w:val="a9"/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б-копию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положительного заключения ГОСУДАРСТВЕННОЙ экспертизы на проектную документацию.</w:t>
      </w:r>
    </w:p>
    <w:p w:rsidR="00FA07DC" w:rsidRDefault="00FA07DC" w:rsidP="00FA07DC">
      <w:pPr>
        <w:pStyle w:val="a9"/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в-пояснительную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записку.</w:t>
      </w:r>
    </w:p>
    <w:p w:rsidR="00FA07DC" w:rsidRDefault="00FA07DC" w:rsidP="00FA07DC">
      <w:pPr>
        <w:pStyle w:val="a9"/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г-копию разрешения на строительство объекта.</w:t>
      </w:r>
    </w:p>
    <w:p w:rsidR="00FA07DC" w:rsidRPr="00FA07DC" w:rsidRDefault="00FA07DC" w:rsidP="00FA07DC">
      <w:pPr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A07DC" w:rsidRPr="00FA07DC" w:rsidRDefault="00FA07DC" w:rsidP="00FA07DC">
      <w:pPr>
        <w:pStyle w:val="a9"/>
        <w:tabs>
          <w:tab w:val="left" w:pos="495"/>
          <w:tab w:val="left" w:pos="37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B26C5" w:rsidRDefault="00100F0E" w:rsidP="00100F0E">
      <w:pPr>
        <w:tabs>
          <w:tab w:val="left" w:pos="495"/>
          <w:tab w:val="left" w:pos="3735"/>
        </w:tabs>
        <w:jc w:val="both"/>
      </w:pPr>
      <w:r>
        <w:tab/>
      </w:r>
    </w:p>
    <w:p w:rsidR="001B26C5" w:rsidRDefault="001B26C5"/>
    <w:p w:rsidR="001B26C5" w:rsidRDefault="001B26C5"/>
    <w:p w:rsidR="00FA07DC" w:rsidRDefault="00FA07DC"/>
    <w:p w:rsidR="00FA07DC" w:rsidRDefault="00FA07DC"/>
    <w:p w:rsidR="00FA07DC" w:rsidRDefault="00FA07DC"/>
    <w:p w:rsidR="00FA07DC" w:rsidRDefault="00FA07DC"/>
    <w:p w:rsidR="00FA07DC" w:rsidRDefault="00FA07DC"/>
    <w:p w:rsidR="00FA07DC" w:rsidRDefault="00FA07DC"/>
    <w:p w:rsidR="00FA07DC" w:rsidRDefault="00FA07DC"/>
    <w:p w:rsidR="00FA07DC" w:rsidRDefault="00FA07D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157480</wp:posOffset>
            </wp:positionV>
            <wp:extent cx="5076825" cy="6858000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7DC" w:rsidRDefault="00FA07DC"/>
    <w:p w:rsidR="00FA07DC" w:rsidRDefault="00FA07DC"/>
    <w:p w:rsidR="00FA07DC" w:rsidRDefault="00FA07DC"/>
    <w:p w:rsidR="00FA07DC" w:rsidRDefault="00FA07DC"/>
    <w:p w:rsidR="00FA07DC" w:rsidRDefault="00FA07DC"/>
    <w:p w:rsidR="00FA07DC" w:rsidRDefault="00FA07DC"/>
    <w:p w:rsidR="001B26C5" w:rsidRDefault="001B26C5">
      <w:r>
        <w:rPr>
          <w:noProof/>
          <w:lang w:eastAsia="ru-RU"/>
        </w:rPr>
        <w:lastRenderedPageBreak/>
        <w:drawing>
          <wp:inline distT="0" distB="0" distL="0" distR="0">
            <wp:extent cx="5940425" cy="84006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C5" w:rsidRDefault="001B26C5"/>
    <w:p w:rsidR="001B26C5" w:rsidRDefault="001B26C5"/>
    <w:p w:rsidR="001B26C5" w:rsidRDefault="001B26C5">
      <w:r>
        <w:rPr>
          <w:noProof/>
          <w:lang w:eastAsia="ru-RU"/>
        </w:rPr>
        <w:lastRenderedPageBreak/>
        <w:drawing>
          <wp:inline distT="0" distB="0" distL="0" distR="0">
            <wp:extent cx="5940425" cy="84006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C5" w:rsidRDefault="001B26C5"/>
    <w:sectPr w:rsidR="001B26C5" w:rsidSect="00F12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5C3" w:rsidRDefault="005255C3" w:rsidP="00100F0E">
      <w:pPr>
        <w:spacing w:after="0" w:line="240" w:lineRule="auto"/>
      </w:pPr>
      <w:r>
        <w:separator/>
      </w:r>
    </w:p>
  </w:endnote>
  <w:endnote w:type="continuationSeparator" w:id="0">
    <w:p w:rsidR="005255C3" w:rsidRDefault="005255C3" w:rsidP="00100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5C3" w:rsidRDefault="005255C3" w:rsidP="00100F0E">
      <w:pPr>
        <w:spacing w:after="0" w:line="240" w:lineRule="auto"/>
      </w:pPr>
      <w:r>
        <w:separator/>
      </w:r>
    </w:p>
  </w:footnote>
  <w:footnote w:type="continuationSeparator" w:id="0">
    <w:p w:rsidR="005255C3" w:rsidRDefault="005255C3" w:rsidP="00100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47583"/>
    <w:multiLevelType w:val="hybridMultilevel"/>
    <w:tmpl w:val="C80C2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6C5"/>
    <w:rsid w:val="000228F2"/>
    <w:rsid w:val="00100F0E"/>
    <w:rsid w:val="001B26C5"/>
    <w:rsid w:val="00215BC6"/>
    <w:rsid w:val="00295C0E"/>
    <w:rsid w:val="005255C3"/>
    <w:rsid w:val="008C741B"/>
    <w:rsid w:val="00AF6A87"/>
    <w:rsid w:val="00F12D81"/>
    <w:rsid w:val="00F24AE8"/>
    <w:rsid w:val="00FA0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6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0F0E"/>
  </w:style>
  <w:style w:type="paragraph" w:styleId="a7">
    <w:name w:val="footer"/>
    <w:basedOn w:val="a"/>
    <w:link w:val="a8"/>
    <w:uiPriority w:val="99"/>
    <w:semiHidden/>
    <w:unhideWhenUsed/>
    <w:rsid w:val="0010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0F0E"/>
  </w:style>
  <w:style w:type="paragraph" w:styleId="a9">
    <w:name w:val="List Paragraph"/>
    <w:basedOn w:val="a"/>
    <w:uiPriority w:val="34"/>
    <w:qFormat/>
    <w:rsid w:val="00FA07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2016-11-02T03:31:00Z</dcterms:created>
  <dcterms:modified xsi:type="dcterms:W3CDTF">2016-11-02T04:17:00Z</dcterms:modified>
</cp:coreProperties>
</file>